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FBF" w:rsidRDefault="00865FBF" w:rsidP="00865FBF">
      <w:pPr>
        <w:ind w:firstLine="680"/>
        <w:jc w:val="center"/>
        <w:rPr>
          <w:rFonts w:eastAsia="Liberation Serif" w:cs="Liberation Serif"/>
          <w:b/>
          <w:sz w:val="28"/>
          <w:szCs w:val="28"/>
        </w:rPr>
      </w:pPr>
      <w:r>
        <w:rPr>
          <w:rFonts w:eastAsia="Liberation Serif" w:cs="Liberation Serif"/>
          <w:b/>
          <w:sz w:val="28"/>
          <w:szCs w:val="28"/>
        </w:rPr>
        <w:t>Технология назначения пенсий</w:t>
      </w:r>
    </w:p>
    <w:p w:rsidR="00865FBF" w:rsidRDefault="00865FBF" w:rsidP="00865FBF">
      <w:pPr>
        <w:ind w:firstLine="680"/>
        <w:jc w:val="center"/>
      </w:pPr>
    </w:p>
    <w:p w:rsidR="00865FBF" w:rsidRDefault="00865FBF" w:rsidP="00865FBF">
      <w:pPr>
        <w:ind w:firstLine="680"/>
        <w:jc w:val="both"/>
      </w:pPr>
      <w:r>
        <w:rPr>
          <w:rFonts w:eastAsia="Liberation Serif" w:cs="Liberation Serif"/>
          <w:b/>
          <w:sz w:val="28"/>
          <w:szCs w:val="28"/>
        </w:rPr>
        <w:t>Рассмотрим назначение пенсии и ежемесячной денежной выплаты (ЕДВ) лицам, впервые признанными инвалидами.</w:t>
      </w:r>
    </w:p>
    <w:p w:rsidR="00865FBF" w:rsidRDefault="00865FBF" w:rsidP="00865FBF">
      <w:pPr>
        <w:ind w:firstLine="680"/>
        <w:jc w:val="both"/>
      </w:pPr>
      <w:r>
        <w:rPr>
          <w:rFonts w:eastAsia="Liberation Serif" w:cs="Liberation Serif"/>
          <w:sz w:val="28"/>
          <w:szCs w:val="28"/>
        </w:rPr>
        <w:t>По данным Федеральной государственной информационной системы Федеральный регистр инвалидов (ФГИС ФРИ) определяем лиц, признанных инвалидами. При взаимодействии с гражданином посредством телефонной связи (электронной почты) даем ему разъяснения:</w:t>
      </w:r>
    </w:p>
    <w:p w:rsidR="00865FBF" w:rsidRDefault="00865FBF" w:rsidP="00865FBF">
      <w:pPr>
        <w:numPr>
          <w:ilvl w:val="0"/>
          <w:numId w:val="1"/>
        </w:numPr>
        <w:tabs>
          <w:tab w:val="left" w:pos="709"/>
        </w:tabs>
        <w:ind w:left="1134" w:hanging="425"/>
        <w:jc w:val="both"/>
      </w:pPr>
      <w:r>
        <w:rPr>
          <w:rFonts w:eastAsia="Liberation Serif" w:cs="Liberation Serif"/>
          <w:sz w:val="28"/>
          <w:szCs w:val="28"/>
        </w:rPr>
        <w:t>о необходимости обращения с заявлениями о назначении и доставке пенсии и ЕДВ в электронной форме через личный кабинет на сайте ПФР или ЕПГУ;</w:t>
      </w:r>
    </w:p>
    <w:p w:rsidR="00865FBF" w:rsidRDefault="00865FBF" w:rsidP="00865FBF">
      <w:pPr>
        <w:numPr>
          <w:ilvl w:val="0"/>
          <w:numId w:val="1"/>
        </w:numPr>
        <w:tabs>
          <w:tab w:val="left" w:pos="709"/>
        </w:tabs>
        <w:ind w:left="1134" w:hanging="425"/>
        <w:jc w:val="both"/>
      </w:pPr>
      <w:r>
        <w:rPr>
          <w:rFonts w:eastAsia="Liberation Serif" w:cs="Liberation Serif"/>
          <w:sz w:val="28"/>
          <w:szCs w:val="28"/>
        </w:rPr>
        <w:t>о наиболее выгодном для него варианте пенсионного обеспечения;</w:t>
      </w:r>
    </w:p>
    <w:p w:rsidR="00865FBF" w:rsidRDefault="00865FBF" w:rsidP="00865FBF">
      <w:pPr>
        <w:numPr>
          <w:ilvl w:val="0"/>
          <w:numId w:val="1"/>
        </w:numPr>
        <w:tabs>
          <w:tab w:val="left" w:pos="709"/>
        </w:tabs>
        <w:ind w:left="1134" w:hanging="425"/>
        <w:jc w:val="both"/>
      </w:pPr>
      <w:r>
        <w:rPr>
          <w:rFonts w:eastAsia="Liberation Serif" w:cs="Liberation Serif"/>
          <w:sz w:val="28"/>
          <w:szCs w:val="28"/>
        </w:rPr>
        <w:t>о возможности ознакомления с выпиской из ИЛС застрахованного лица через личный кабинет на сайте ПФР или ЕПГУ;</w:t>
      </w:r>
    </w:p>
    <w:p w:rsidR="00865FBF" w:rsidRDefault="00865FBF" w:rsidP="00865FBF">
      <w:pPr>
        <w:numPr>
          <w:ilvl w:val="0"/>
          <w:numId w:val="1"/>
        </w:numPr>
        <w:tabs>
          <w:tab w:val="left" w:pos="709"/>
        </w:tabs>
        <w:ind w:left="1134" w:hanging="425"/>
        <w:jc w:val="both"/>
      </w:pPr>
      <w:proofErr w:type="gramStart"/>
      <w:r>
        <w:rPr>
          <w:rFonts w:eastAsia="Liberation Serif" w:cs="Liberation Serif"/>
          <w:sz w:val="28"/>
          <w:szCs w:val="28"/>
        </w:rPr>
        <w:t>о проставлении в заявлении отметки о согласии с принятием решения о назначении</w:t>
      </w:r>
      <w:proofErr w:type="gramEnd"/>
      <w:r>
        <w:rPr>
          <w:rFonts w:eastAsia="Liberation Serif" w:cs="Liberation Serif"/>
          <w:sz w:val="28"/>
          <w:szCs w:val="28"/>
        </w:rPr>
        <w:t xml:space="preserve"> страховой пенсии по имеющимся в распоряжении ПФР сведениям индивидуального (персонифицированного) учета. При необходимости гражданину оказывается содействие в подаче соответствующих заявлений в  электронном виде путем консультирования по телефону;</w:t>
      </w:r>
    </w:p>
    <w:p w:rsidR="00865FBF" w:rsidRDefault="00865FBF" w:rsidP="00865FBF">
      <w:pPr>
        <w:pStyle w:val="a5"/>
        <w:numPr>
          <w:ilvl w:val="0"/>
          <w:numId w:val="1"/>
        </w:numPr>
        <w:tabs>
          <w:tab w:val="left" w:pos="709"/>
        </w:tabs>
        <w:ind w:left="1134" w:hanging="425"/>
        <w:jc w:val="both"/>
      </w:pPr>
      <w:r>
        <w:rPr>
          <w:rFonts w:eastAsia="Liberation Serif" w:cs="Liberation Serif"/>
          <w:sz w:val="28"/>
          <w:szCs w:val="28"/>
        </w:rPr>
        <w:t>в случае отсутствия у гражданина возможности обращения в территориальный орган ПФР в электронной форме уточняется его согласие на назначение пенсии и ЕДВ, которое оформляется актом.</w:t>
      </w:r>
    </w:p>
    <w:p w:rsidR="00865FBF" w:rsidRDefault="00865FBF" w:rsidP="00865FBF">
      <w:pPr>
        <w:ind w:left="567" w:firstLine="709"/>
        <w:jc w:val="both"/>
      </w:pPr>
      <w:r>
        <w:rPr>
          <w:rFonts w:eastAsia="Liberation Serif" w:cs="Liberation Serif"/>
          <w:sz w:val="28"/>
          <w:szCs w:val="28"/>
        </w:rPr>
        <w:t>Акт подписывает должностное лицо территориального органа ПФР и приобщается в выплатное дело гражданина. На основании согласия формируется соответствующее заявление.</w:t>
      </w:r>
    </w:p>
    <w:p w:rsidR="00865FBF" w:rsidRDefault="00865FBF" w:rsidP="00865FBF">
      <w:pPr>
        <w:pStyle w:val="a5"/>
        <w:numPr>
          <w:ilvl w:val="1"/>
          <w:numId w:val="2"/>
        </w:numPr>
        <w:tabs>
          <w:tab w:val="left" w:pos="1134"/>
        </w:tabs>
        <w:ind w:left="1134" w:hanging="425"/>
        <w:jc w:val="both"/>
      </w:pPr>
      <w:r>
        <w:rPr>
          <w:rFonts w:eastAsia="Liberation Serif" w:cs="Liberation Serif"/>
          <w:sz w:val="28"/>
          <w:szCs w:val="28"/>
        </w:rPr>
        <w:t xml:space="preserve">В случае если в результате взаимодействия с гражданином установлено, что в распоряжении ПФР учтены не все приобретенные им пенсионные права, территориальный орган ПФР оказывает содействие в истребовании необходимых документов. Решение о назначении пенсии и ЕДВ принимается не позднее 10 рабочих дней со дня поступления соответствующих заявлений (согласия). При поступлении документов (сведений), запрошенных территориальным органом ПФР при оказании содействия гражданину, производится перерасчет размера страховой пенсии без истребования заявления о перерасчете со дня назначения. При этом гражданин извещается о </w:t>
      </w:r>
      <w:proofErr w:type="spellStart"/>
      <w:r>
        <w:rPr>
          <w:rFonts w:eastAsia="Liberation Serif" w:cs="Liberation Serif"/>
          <w:sz w:val="28"/>
          <w:szCs w:val="28"/>
        </w:rPr>
        <w:t>произведеннном</w:t>
      </w:r>
      <w:proofErr w:type="spellEnd"/>
      <w:r>
        <w:rPr>
          <w:rFonts w:eastAsia="Liberation Serif" w:cs="Liberation Serif"/>
          <w:sz w:val="28"/>
          <w:szCs w:val="28"/>
        </w:rPr>
        <w:t xml:space="preserve"> перерасчете размера пенсии.</w:t>
      </w:r>
    </w:p>
    <w:p w:rsidR="00865FBF" w:rsidRDefault="00865FBF" w:rsidP="00865FBF">
      <w:pPr>
        <w:pStyle w:val="a5"/>
        <w:numPr>
          <w:ilvl w:val="1"/>
          <w:numId w:val="2"/>
        </w:numPr>
        <w:tabs>
          <w:tab w:val="left" w:pos="1134"/>
        </w:tabs>
        <w:ind w:left="1134" w:hanging="425"/>
        <w:jc w:val="both"/>
      </w:pPr>
      <w:r>
        <w:rPr>
          <w:rFonts w:eastAsia="Liberation Serif" w:cs="Liberation Serif"/>
          <w:sz w:val="28"/>
          <w:szCs w:val="28"/>
        </w:rPr>
        <w:t>Если инвалид уже получает пенсию по инвалидности и прошел очередное переосвидетельствование, территориальный орган ПФР автоматически продлевает выплату пенсии и ЕДВ на основании сведений об инвалидности, поступивших из ФГИС ФРИ, без обращения пенсионера.</w:t>
      </w:r>
    </w:p>
    <w:p w:rsidR="00865FBF" w:rsidRDefault="00865FBF" w:rsidP="00865FBF">
      <w:pPr>
        <w:pStyle w:val="a5"/>
        <w:ind w:left="1134"/>
        <w:jc w:val="both"/>
        <w:rPr>
          <w:rFonts w:eastAsia="Liberation Serif" w:cs="Liberation Serif"/>
          <w:sz w:val="28"/>
          <w:szCs w:val="28"/>
        </w:rPr>
      </w:pPr>
    </w:p>
    <w:p w:rsidR="00865FBF" w:rsidRDefault="00865FBF" w:rsidP="00865FBF">
      <w:pPr>
        <w:pStyle w:val="a5"/>
        <w:ind w:left="0" w:firstLine="709"/>
        <w:jc w:val="center"/>
      </w:pPr>
      <w:r>
        <w:rPr>
          <w:rFonts w:eastAsia="Liberation Serif" w:cs="Liberation Serif"/>
          <w:b/>
          <w:sz w:val="28"/>
          <w:szCs w:val="28"/>
        </w:rPr>
        <w:t>Технология назначения пенсии по старости</w:t>
      </w:r>
    </w:p>
    <w:p w:rsidR="00865FBF" w:rsidRDefault="00865FBF" w:rsidP="00865FBF">
      <w:pPr>
        <w:pStyle w:val="a5"/>
        <w:ind w:left="0" w:firstLine="709"/>
        <w:jc w:val="both"/>
      </w:pPr>
      <w:r>
        <w:rPr>
          <w:rFonts w:eastAsia="Liberation Serif" w:cs="Liberation Serif"/>
          <w:sz w:val="28"/>
          <w:szCs w:val="28"/>
        </w:rPr>
        <w:t xml:space="preserve">В управлении пенсионного фонда имеется информация о лицах, у которых наступает возраст выхода на пенсию по старости. Посредством телефонной связи (электронной почты) консультируем гражданина о необходимости подачи заявления на назначение пенсии, на доставку пенсии в электронном виде, о необходимости ознакомиться со сведениями, находящимися в его индивидуальном лицевом счете. И если гражданин согласен назначить пенсию по сведениям персонифицированного учета, необходимо сделать отметку об этом согласии в заявлении. В случае отсутствия у </w:t>
      </w:r>
      <w:r>
        <w:rPr>
          <w:rFonts w:eastAsia="Liberation Serif" w:cs="Liberation Serif"/>
          <w:sz w:val="28"/>
          <w:szCs w:val="28"/>
        </w:rPr>
        <w:lastRenderedPageBreak/>
        <w:t>гражданина возможности обращения в территориальный орган ПФР в электронной форме, уточняется его согласие на назначение пенсии, которое оформляется актом. На основании согласия формируется соответствующее заявление.</w:t>
      </w:r>
    </w:p>
    <w:p w:rsidR="00865FBF" w:rsidRDefault="00865FBF" w:rsidP="00865FBF">
      <w:pPr>
        <w:pStyle w:val="a5"/>
        <w:ind w:left="0" w:firstLine="709"/>
        <w:jc w:val="both"/>
        <w:rPr>
          <w:rFonts w:eastAsia="Liberation Serif" w:cs="Liberation Serif"/>
          <w:sz w:val="28"/>
          <w:szCs w:val="28"/>
        </w:rPr>
      </w:pPr>
    </w:p>
    <w:p w:rsidR="00865FBF" w:rsidRDefault="00865FBF" w:rsidP="00865FBF">
      <w:pPr>
        <w:pStyle w:val="a5"/>
        <w:ind w:left="0" w:firstLine="709"/>
        <w:jc w:val="both"/>
        <w:rPr>
          <w:rFonts w:eastAsia="Liberation Serif" w:cs="Liberation Serif"/>
          <w:sz w:val="28"/>
          <w:szCs w:val="28"/>
        </w:rPr>
      </w:pPr>
      <w:r>
        <w:rPr>
          <w:rFonts w:eastAsia="Liberation Serif" w:cs="Liberation Serif"/>
          <w:b/>
          <w:sz w:val="28"/>
          <w:szCs w:val="28"/>
        </w:rPr>
        <w:t xml:space="preserve">Для назначения пенсии по случаю потери кормильца </w:t>
      </w:r>
      <w:r>
        <w:rPr>
          <w:rFonts w:eastAsia="Liberation Serif" w:cs="Liberation Serif"/>
          <w:sz w:val="28"/>
          <w:szCs w:val="28"/>
        </w:rPr>
        <w:t xml:space="preserve">необходимо в электронном виде подать заявление на назначение пенсии, приложив все необходимые документы, либо обратиться клиентскую службу управления, предварительно записавшись на прием. Первоначально пенсии по СПК назначаются до достижения получателем пенсии возраста 18 лет. Если он продолжает свое очное обучение, выплата пенсии продлевается. В связи со сложившейся ситуацией, пенсии по случаю потери кормильца, при достижении получателем пенсии возраста 18 лет, продлеваются </w:t>
      </w:r>
      <w:proofErr w:type="spellStart"/>
      <w:r>
        <w:rPr>
          <w:rFonts w:eastAsia="Liberation Serif" w:cs="Liberation Serif"/>
          <w:sz w:val="28"/>
          <w:szCs w:val="28"/>
        </w:rPr>
        <w:t>беззаявительно</w:t>
      </w:r>
      <w:proofErr w:type="spellEnd"/>
      <w:r>
        <w:rPr>
          <w:rFonts w:eastAsia="Liberation Serif" w:cs="Liberation Serif"/>
          <w:sz w:val="28"/>
          <w:szCs w:val="28"/>
        </w:rPr>
        <w:t xml:space="preserve"> без предоставления документов, подтверждающих фактическое обучение на срок до 30.06.2020 г.</w:t>
      </w:r>
    </w:p>
    <w:p w:rsidR="00865FBF" w:rsidRDefault="00865FBF" w:rsidP="00865FBF">
      <w:pPr>
        <w:pStyle w:val="a5"/>
        <w:ind w:left="0" w:firstLine="709"/>
        <w:jc w:val="both"/>
        <w:rPr>
          <w:rFonts w:eastAsia="Liberation Serif" w:cs="Liberation Serif"/>
          <w:sz w:val="28"/>
          <w:szCs w:val="28"/>
        </w:rPr>
      </w:pPr>
    </w:p>
    <w:p w:rsidR="00865FBF" w:rsidRDefault="00865FBF" w:rsidP="00865FBF">
      <w:pPr>
        <w:pStyle w:val="a5"/>
        <w:ind w:left="0" w:firstLine="709"/>
        <w:jc w:val="both"/>
      </w:pPr>
    </w:p>
    <w:p w:rsidR="00F12FE6" w:rsidRPr="00865FBF" w:rsidRDefault="00F12FE6" w:rsidP="00865FBF"/>
    <w:sectPr w:rsidR="00F12FE6" w:rsidRPr="00865FBF" w:rsidSect="00865FBF">
      <w:pgSz w:w="11906" w:h="16838"/>
      <w:pgMar w:top="567"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1400"/>
        </w:tabs>
        <w:ind w:left="1400" w:hanging="360"/>
      </w:pPr>
      <w:rPr>
        <w:rFonts w:ascii="Symbol" w:hAnsi="Symbol" w:cs="OpenSymbol"/>
      </w:rPr>
    </w:lvl>
    <w:lvl w:ilvl="1">
      <w:start w:val="1"/>
      <w:numFmt w:val="bullet"/>
      <w:lvlText w:val="◦"/>
      <w:lvlJc w:val="left"/>
      <w:pPr>
        <w:tabs>
          <w:tab w:val="num" w:pos="1760"/>
        </w:tabs>
        <w:ind w:left="1760" w:hanging="360"/>
      </w:pPr>
      <w:rPr>
        <w:rFonts w:ascii="OpenSymbol" w:hAnsi="OpenSymbol" w:cs="OpenSymbol"/>
      </w:rPr>
    </w:lvl>
    <w:lvl w:ilvl="2">
      <w:start w:val="1"/>
      <w:numFmt w:val="bullet"/>
      <w:lvlText w:val="▪"/>
      <w:lvlJc w:val="left"/>
      <w:pPr>
        <w:tabs>
          <w:tab w:val="num" w:pos="2120"/>
        </w:tabs>
        <w:ind w:left="2120" w:hanging="360"/>
      </w:pPr>
      <w:rPr>
        <w:rFonts w:ascii="OpenSymbol" w:hAnsi="OpenSymbol" w:cs="OpenSymbol"/>
      </w:rPr>
    </w:lvl>
    <w:lvl w:ilvl="3">
      <w:start w:val="1"/>
      <w:numFmt w:val="bullet"/>
      <w:lvlText w:val=""/>
      <w:lvlJc w:val="left"/>
      <w:pPr>
        <w:tabs>
          <w:tab w:val="num" w:pos="2480"/>
        </w:tabs>
        <w:ind w:left="2480" w:hanging="360"/>
      </w:pPr>
      <w:rPr>
        <w:rFonts w:ascii="Symbol" w:hAnsi="Symbol" w:cs="OpenSymbol"/>
      </w:rPr>
    </w:lvl>
    <w:lvl w:ilvl="4">
      <w:start w:val="1"/>
      <w:numFmt w:val="bullet"/>
      <w:lvlText w:val="◦"/>
      <w:lvlJc w:val="left"/>
      <w:pPr>
        <w:tabs>
          <w:tab w:val="num" w:pos="2840"/>
        </w:tabs>
        <w:ind w:left="2840" w:hanging="360"/>
      </w:pPr>
      <w:rPr>
        <w:rFonts w:ascii="OpenSymbol" w:hAnsi="OpenSymbol" w:cs="OpenSymbol"/>
      </w:rPr>
    </w:lvl>
    <w:lvl w:ilvl="5">
      <w:start w:val="1"/>
      <w:numFmt w:val="bullet"/>
      <w:lvlText w:val="▪"/>
      <w:lvlJc w:val="left"/>
      <w:pPr>
        <w:tabs>
          <w:tab w:val="num" w:pos="3200"/>
        </w:tabs>
        <w:ind w:left="3200" w:hanging="360"/>
      </w:pPr>
      <w:rPr>
        <w:rFonts w:ascii="OpenSymbol" w:hAnsi="OpenSymbol" w:cs="OpenSymbol"/>
      </w:rPr>
    </w:lvl>
    <w:lvl w:ilvl="6">
      <w:start w:val="1"/>
      <w:numFmt w:val="bullet"/>
      <w:lvlText w:val=""/>
      <w:lvlJc w:val="left"/>
      <w:pPr>
        <w:tabs>
          <w:tab w:val="num" w:pos="3560"/>
        </w:tabs>
        <w:ind w:left="3560" w:hanging="360"/>
      </w:pPr>
      <w:rPr>
        <w:rFonts w:ascii="Symbol" w:hAnsi="Symbol" w:cs="OpenSymbol"/>
      </w:rPr>
    </w:lvl>
    <w:lvl w:ilvl="7">
      <w:start w:val="1"/>
      <w:numFmt w:val="bullet"/>
      <w:lvlText w:val="◦"/>
      <w:lvlJc w:val="left"/>
      <w:pPr>
        <w:tabs>
          <w:tab w:val="num" w:pos="3920"/>
        </w:tabs>
        <w:ind w:left="3920" w:hanging="360"/>
      </w:pPr>
      <w:rPr>
        <w:rFonts w:ascii="OpenSymbol" w:hAnsi="OpenSymbol" w:cs="OpenSymbol"/>
      </w:rPr>
    </w:lvl>
    <w:lvl w:ilvl="8">
      <w:start w:val="1"/>
      <w:numFmt w:val="bullet"/>
      <w:lvlText w:val="▪"/>
      <w:lvlJc w:val="left"/>
      <w:pPr>
        <w:tabs>
          <w:tab w:val="num" w:pos="4280"/>
        </w:tabs>
        <w:ind w:left="428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1400"/>
        </w:tabs>
        <w:ind w:left="1400" w:hanging="360"/>
      </w:pPr>
      <w:rPr>
        <w:rFonts w:ascii="Symbol" w:hAnsi="Symbol" w:cs="OpenSymbol"/>
      </w:rPr>
    </w:lvl>
    <w:lvl w:ilvl="1">
      <w:start w:val="1"/>
      <w:numFmt w:val="bullet"/>
      <w:lvlText w:val=""/>
      <w:lvlJc w:val="left"/>
      <w:pPr>
        <w:tabs>
          <w:tab w:val="num" w:pos="1760"/>
        </w:tabs>
        <w:ind w:left="1760" w:hanging="360"/>
      </w:pPr>
      <w:rPr>
        <w:rFonts w:ascii="Symbol" w:hAnsi="Symbol" w:cs="Symbol" w:hint="default"/>
        <w:sz w:val="28"/>
        <w:szCs w:val="28"/>
      </w:rPr>
    </w:lvl>
    <w:lvl w:ilvl="2">
      <w:start w:val="1"/>
      <w:numFmt w:val="bullet"/>
      <w:lvlText w:val="▪"/>
      <w:lvlJc w:val="left"/>
      <w:pPr>
        <w:tabs>
          <w:tab w:val="num" w:pos="2120"/>
        </w:tabs>
        <w:ind w:left="2120" w:hanging="360"/>
      </w:pPr>
      <w:rPr>
        <w:rFonts w:ascii="OpenSymbol" w:hAnsi="OpenSymbol" w:cs="OpenSymbol"/>
      </w:rPr>
    </w:lvl>
    <w:lvl w:ilvl="3">
      <w:start w:val="1"/>
      <w:numFmt w:val="bullet"/>
      <w:lvlText w:val=""/>
      <w:lvlJc w:val="left"/>
      <w:pPr>
        <w:tabs>
          <w:tab w:val="num" w:pos="2480"/>
        </w:tabs>
        <w:ind w:left="2480" w:hanging="360"/>
      </w:pPr>
      <w:rPr>
        <w:rFonts w:ascii="Symbol" w:hAnsi="Symbol" w:cs="OpenSymbol"/>
      </w:rPr>
    </w:lvl>
    <w:lvl w:ilvl="4">
      <w:start w:val="1"/>
      <w:numFmt w:val="bullet"/>
      <w:lvlText w:val="◦"/>
      <w:lvlJc w:val="left"/>
      <w:pPr>
        <w:tabs>
          <w:tab w:val="num" w:pos="2840"/>
        </w:tabs>
        <w:ind w:left="2840" w:hanging="360"/>
      </w:pPr>
      <w:rPr>
        <w:rFonts w:ascii="OpenSymbol" w:hAnsi="OpenSymbol" w:cs="OpenSymbol"/>
      </w:rPr>
    </w:lvl>
    <w:lvl w:ilvl="5">
      <w:start w:val="1"/>
      <w:numFmt w:val="bullet"/>
      <w:lvlText w:val="▪"/>
      <w:lvlJc w:val="left"/>
      <w:pPr>
        <w:tabs>
          <w:tab w:val="num" w:pos="3200"/>
        </w:tabs>
        <w:ind w:left="3200" w:hanging="360"/>
      </w:pPr>
      <w:rPr>
        <w:rFonts w:ascii="OpenSymbol" w:hAnsi="OpenSymbol" w:cs="OpenSymbol"/>
      </w:rPr>
    </w:lvl>
    <w:lvl w:ilvl="6">
      <w:start w:val="1"/>
      <w:numFmt w:val="bullet"/>
      <w:lvlText w:val=""/>
      <w:lvlJc w:val="left"/>
      <w:pPr>
        <w:tabs>
          <w:tab w:val="num" w:pos="3560"/>
        </w:tabs>
        <w:ind w:left="3560" w:hanging="360"/>
      </w:pPr>
      <w:rPr>
        <w:rFonts w:ascii="Symbol" w:hAnsi="Symbol" w:cs="OpenSymbol"/>
      </w:rPr>
    </w:lvl>
    <w:lvl w:ilvl="7">
      <w:start w:val="1"/>
      <w:numFmt w:val="bullet"/>
      <w:lvlText w:val="◦"/>
      <w:lvlJc w:val="left"/>
      <w:pPr>
        <w:tabs>
          <w:tab w:val="num" w:pos="3920"/>
        </w:tabs>
        <w:ind w:left="3920" w:hanging="360"/>
      </w:pPr>
      <w:rPr>
        <w:rFonts w:ascii="OpenSymbol" w:hAnsi="OpenSymbol" w:cs="OpenSymbol"/>
      </w:rPr>
    </w:lvl>
    <w:lvl w:ilvl="8">
      <w:start w:val="1"/>
      <w:numFmt w:val="bullet"/>
      <w:lvlText w:val="▪"/>
      <w:lvlJc w:val="left"/>
      <w:pPr>
        <w:tabs>
          <w:tab w:val="num" w:pos="4280"/>
        </w:tabs>
        <w:ind w:left="4280" w:hanging="360"/>
      </w:pPr>
      <w:rPr>
        <w:rFonts w:ascii="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65FBF"/>
    <w:rsid w:val="00100946"/>
    <w:rsid w:val="00865FBF"/>
    <w:rsid w:val="00F12FE6"/>
    <w:rsid w:val="00FE6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FBF"/>
    <w:pPr>
      <w:suppressAutoHyphens/>
      <w:spacing w:after="0" w:line="240" w:lineRule="auto"/>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009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00946"/>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qFormat/>
    <w:rsid w:val="00865FBF"/>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Галинка</dc:creator>
  <cp:lastModifiedBy>Галинка</cp:lastModifiedBy>
  <cp:revision>1</cp:revision>
  <dcterms:created xsi:type="dcterms:W3CDTF">2020-04-16T08:56:00Z</dcterms:created>
  <dcterms:modified xsi:type="dcterms:W3CDTF">2020-04-16T09:00:00Z</dcterms:modified>
</cp:coreProperties>
</file>