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313D9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104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(О законотворческой деятельности)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Право законодательной инициативы принадлежит Президенту Российской Федерации, Совету Федерации, </w:t>
      </w:r>
      <w:r>
        <w:rPr>
          <w:rFonts w:ascii="Times New Roman" w:hAnsi="Times New Roman"/>
          <w:b w:val="1"/>
          <w:color w:val="000000"/>
          <w:sz w:val="28"/>
          <w:u w:val="none"/>
        </w:rPr>
        <w:t>сенаторам Российской Федерации,</w:t>
      </w:r>
      <w:r>
        <w:rPr>
          <w:rFonts w:ascii="Times New Roman" w:hAnsi="Times New Roman"/>
          <w:b w:val="1"/>
          <w:color w:val="000000"/>
          <w:sz w:val="28"/>
          <w:u w:val="single"/>
        </w:rPr>
        <w:t> </w:t>
      </w:r>
      <w:r>
        <w:rPr>
          <w:rFonts w:ascii="Times New Roman" w:hAnsi="Times New Roman"/>
          <w:color w:val="000000"/>
          <w:sz w:val="28"/>
        </w:rPr>
        <w:t>депутатам Государственной Думы, Правительству Российской Федерации, законодательным (представительным) органам субъектов Российской Федерации. Право законодательной инициативы принадлежит также Конституционному Суду Российской Федерации и Верховному Суду Российской Федерации по вопросам их ведения.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Законопроекты вносятся в Государственную Думу.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Законопроекты о введении или отмене налогов, освобождении от их уплаты, о выпуске государственных займов, об изменении финансовых обязательств государства, другие законопроекты, предусматривающие расходы, покрываемые за счет федерального бюджета, могут быть внесены только при наличии заключения Правительства Российской Федерации.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