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338E5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rPr>
      </w:pPr>
      <w:r>
        <w:rPr>
          <w:rFonts w:ascii="Times New Roman" w:hAnsi="Times New Roman"/>
          <w:b w:val="1"/>
          <w:color w:val="000000"/>
          <w:sz w:val="28"/>
        </w:rPr>
        <w:t>Статья 107</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r>
        <w:rPr>
          <w:rFonts w:ascii="Times New Roman" w:hAnsi="Times New Roman"/>
          <w:b w:val="0"/>
          <w:color w:val="000000"/>
          <w:sz w:val="28"/>
        </w:rPr>
        <w:t>(О процедуре принятия федерального закона)</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1. Принятый федеральный закон в течение пяти дней направляется Президенту Российской Федерации для подписания и обнародования.</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2. Президент Российской Федерации в течение четырнадцати дней подписывает федеральный закон и обнародует его.</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color w:val="000000"/>
          <w:sz w:val="28"/>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w:t>
      </w:r>
      <w:r>
        <w:rPr>
          <w:rFonts w:ascii="Times New Roman" w:hAnsi="Times New Roman"/>
          <w:color w:val="000000"/>
          <w:sz w:val="28"/>
          <w:u w:val="none"/>
        </w:rPr>
        <w:t> </w:t>
      </w:r>
      <w:r>
        <w:rPr>
          <w:rFonts w:ascii="Times New Roman" w:hAnsi="Times New Roman"/>
          <w:b w:val="1"/>
          <w:color w:val="000000"/>
          <w:sz w:val="28"/>
          <w:u w:val="none"/>
        </w:rPr>
        <w:t>сенаторов Российской Федерации</w:t>
      </w:r>
      <w:r>
        <w:rPr>
          <w:rFonts w:ascii="Times New Roman" w:hAnsi="Times New Roman"/>
          <w:color w:val="000000"/>
          <w:sz w:val="28"/>
          <w:u w:val="none"/>
        </w:rPr>
        <w:t> </w:t>
      </w:r>
      <w:r>
        <w:rPr>
          <w:rFonts w:ascii="Times New Roman" w:hAnsi="Times New Roman"/>
          <w:color w:val="000000"/>
          <w:sz w:val="28"/>
        </w:rPr>
        <w:t>и депутатов Государственной Думы, он подлежит подписанию Президентом Российской Федерации в течение семи дней и обнародованию. </w:t>
      </w:r>
      <w:r>
        <w:rPr>
          <w:rFonts w:ascii="Times New Roman" w:hAnsi="Times New Roman"/>
          <w:b w:val="1"/>
          <w:color w:val="000000"/>
          <w:sz w:val="28"/>
          <w:u w:val="none"/>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p>
    <w:p>
      <w:pPr>
        <w:rPr>
          <w:u w:val="none"/>
        </w:rP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