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402C7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113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(Об обязанностях Председателя Правительства РФ)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u w:val="none"/>
        </w:rPr>
      </w:pPr>
      <w:r>
        <w:rPr>
          <w:rFonts w:ascii="Times New Roman" w:hAnsi="Times New Roman"/>
          <w:color w:val="000000"/>
          <w:sz w:val="28"/>
        </w:rPr>
        <w:t>Председатель Правительства Российской Федерации в соответствии с Конституцией Российской Федерации, федеральными законами, указами, </w:t>
      </w:r>
      <w:r>
        <w:rPr>
          <w:rFonts w:ascii="Times New Roman" w:hAnsi="Times New Roman"/>
          <w:b w:val="1"/>
          <w:color w:val="000000"/>
          <w:sz w:val="28"/>
          <w:u w:val="none"/>
        </w:rPr>
        <w:t>распоряжениями, поручениями </w:t>
      </w:r>
      <w:r>
        <w:rPr>
          <w:rFonts w:ascii="Times New Roman" w:hAnsi="Times New Roman"/>
          <w:color w:val="000000"/>
          <w:sz w:val="28"/>
        </w:rPr>
        <w:t>Президента Российской Федерации организует работу </w:t>
      </w:r>
      <w:r>
        <w:rPr>
          <w:rFonts w:ascii="Times New Roman" w:hAnsi="Times New Roman"/>
          <w:b w:val="1"/>
          <w:color w:val="000000"/>
          <w:sz w:val="28"/>
          <w:u w:val="none"/>
        </w:rPr>
        <w:t>Правительства Российской Федерации.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</w:t>
      </w:r>
      <w:r>
        <w:rPr>
          <w:rFonts w:ascii="Times New Roman" w:hAnsi="Times New Roman"/>
          <w:b w:val="1"/>
          <w:color w:val="000000"/>
          <w:sz w:val="28"/>
          <w:u w:val="none"/>
        </w:rPr>
        <w:t>ий</w:t>
      </w:r>
      <w:r>
        <w:rPr>
          <w:rFonts w:ascii="Times New Roman" w:hAnsi="Times New Roman"/>
          <w:b w:val="1"/>
          <w:color w:val="000000"/>
          <w:u w:val="none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