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4DA2C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119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(О судьях РФ)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Судьями могут быть граждане Российской Федерации, достигшие 25 лет, имеющие высшее юридическое образование и стаж работы по юридической профессии не менее пяти лет, </w:t>
      </w:r>
      <w:r>
        <w:rPr>
          <w:rFonts w:ascii="Times New Roman" w:hAnsi="Times New Roman"/>
          <w:b w:val="1"/>
          <w:color w:val="000000"/>
          <w:sz w:val="28"/>
          <w:u w:val="none"/>
        </w:rPr>
        <w:t>постоянно проживающие в Российской Федерации,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Судьям судов Российской Федерации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  <w:r>
        <w:rPr>
          <w:rFonts w:ascii="Times New Roman" w:hAnsi="Times New Roman"/>
          <w:color w:val="000000"/>
          <w:sz w:val="28"/>
        </w:rPr>
        <w:t> Федеральным законом могут быть установлены дополнительные требования к судьям судов Российской Федерации.</w:t>
      </w: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