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F8E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133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 судебных и конституционных правах местного самоуправления)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Местное самоуправление в Российской Федерации гарантируется правом на судебную защиту, на компенсацию дополнительных расходов, возникших </w:t>
      </w:r>
      <w:r>
        <w:rPr>
          <w:rFonts w:ascii="Times New Roman" w:hAnsi="Times New Roman"/>
          <w:b w:val="1"/>
          <w:color w:val="000000"/>
          <w:sz w:val="28"/>
          <w:u w:val="none"/>
        </w:rPr>
        <w:t>в результате выполнения органами местного самоуправления во взаимодействии с органами государственной власти публичных функций, а также</w:t>
      </w:r>
      <w:r>
        <w:rPr>
          <w:rFonts w:ascii="Times New Roman" w:hAnsi="Times New Roman"/>
          <w:color w:val="000000"/>
          <w:sz w:val="28"/>
        </w:rPr>
        <w:t> запретом на ограничение прав местного самоуправления, установленных Конституцией Российской Федерации и федеральными законами.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