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25BF1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rPr>
          <w:b w:val="1"/>
          <w:color w:val="000000"/>
        </w:rPr>
      </w:pPr>
      <w:r>
        <w:rPr>
          <w:b w:val="1"/>
          <w:color w:val="000000"/>
        </w:rPr>
        <w:t>Статья 98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rPr>
          <w:b w:val="0"/>
          <w:color w:val="000000"/>
        </w:rPr>
      </w:pPr>
      <w:r>
        <w:rPr>
          <w:b w:val="0"/>
          <w:color w:val="000000"/>
        </w:rPr>
        <w:t>(</w:t>
      </w:r>
      <w:r>
        <w:rPr>
          <w:b w:val="0"/>
          <w:color w:val="000000"/>
        </w:rPr>
        <w:t>О неприкосновенности сенаторов РФ и депутатов Государственной Думы)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rPr>
          <w:color w:val="000000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rPr>
          <w:color w:val="000000"/>
        </w:rPr>
      </w:pPr>
      <w:r>
        <w:rPr>
          <w:color w:val="000000"/>
        </w:rPr>
        <w:t>1. </w:t>
      </w:r>
      <w:r>
        <w:rPr>
          <w:b w:val="1"/>
          <w:color w:val="000000"/>
        </w:rPr>
        <w:t>Сенаторы Российской Федерации</w:t>
      </w:r>
      <w:r>
        <w:rPr>
          <w:color w:val="000000"/>
        </w:rPr>
        <w:t> и депутаты Государственной Думы обладают неприкосновенностью в течение всего срока их полномочий. Они не могут быть задержаны, арестованы, подвергнуты обыску, кроме случаев задержания на месте преступления, а также подвергнуты личному досмотру, за исключением случаев, когда это предусмотрено федеральным законом для обеспечения безопасности других людей.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rPr>
          <w:color w:val="000000"/>
        </w:rPr>
      </w:pPr>
      <w:r>
        <w:rPr>
          <w:color w:val="000000"/>
        </w:rPr>
        <w:t>2. Вопрос о лишении неприкосновенности решается по представлению Генерального прокурора Российской Федерации соответствующей палатой Федерального Собрания.</w:t>
      </w:r>
    </w:p>
    <w:p/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  <w:ind w:firstLine="709"/>
    </w:pPr>
    <w:rPr>
      <w:rFonts w:ascii="Times New Roman" w:hAnsi="Times New Roman"/>
      <w:sz w:val="2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