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3E141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rPr>
      </w:pPr>
      <w:r>
        <w:rPr>
          <w:rFonts w:ascii="Times New Roman" w:hAnsi="Times New Roman"/>
          <w:b w:val="1"/>
          <w:color w:val="000000"/>
          <w:sz w:val="28"/>
        </w:rPr>
        <w:t>Статья 112</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r>
        <w:rPr>
          <w:rFonts w:ascii="Times New Roman" w:hAnsi="Times New Roman"/>
          <w:b w:val="0"/>
          <w:color w:val="000000"/>
          <w:sz w:val="28"/>
        </w:rPr>
        <w:t>(О процедуре формирования Правительства РФ)</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0"/>
          <w:color w:val="000000"/>
          <w:sz w:val="28"/>
        </w:rPr>
      </w:pP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color w:val="000000"/>
          <w:sz w:val="28"/>
        </w:rPr>
      </w:pPr>
      <w:r>
        <w:rPr>
          <w:rFonts w:ascii="Times New Roman" w:hAnsi="Times New Roman"/>
          <w:color w:val="000000"/>
          <w:sz w:val="28"/>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w:t>
      </w:r>
      <w:r>
        <w:rPr>
          <w:rFonts w:ascii="Times New Roman" w:hAnsi="Times New Roman"/>
          <w:b w:val="1"/>
          <w:color w:val="000000"/>
          <w:sz w:val="28"/>
        </w:rPr>
        <w:t>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color w:val="000000"/>
          <w:sz w:val="28"/>
        </w:rPr>
        <w:t xml:space="preserve">2. Председатель Правительства Российской Федерации представляет </w:t>
      </w:r>
      <w:r>
        <w:rPr>
          <w:rFonts w:ascii="Times New Roman" w:hAnsi="Times New Roman"/>
          <w:b w:val="1"/>
          <w:color w:val="000000"/>
          <w:sz w:val="28"/>
          <w:u w:val="none"/>
        </w:rPr>
        <w:t>Государственной Думе на утверждение</w:t>
      </w:r>
      <w:r>
        <w:rPr>
          <w:rFonts w:ascii="Times New Roman" w:hAnsi="Times New Roman"/>
          <w:color w:val="000000"/>
          <w:sz w:val="28"/>
        </w:rPr>
        <w:t> кандидатуры заместителей Председателя Правительства Российской Федерации и федеральных министров </w:t>
      </w:r>
      <w:r>
        <w:rPr>
          <w:rFonts w:ascii="Times New Roman" w:hAnsi="Times New Roman"/>
          <w:b w:val="1"/>
          <w:color w:val="000000"/>
          <w:sz w:val="28"/>
          <w:u w:val="single"/>
        </w:rPr>
        <w:t>(</w:t>
      </w:r>
      <w:r>
        <w:rPr>
          <w:rFonts w:ascii="Times New Roman" w:hAnsi="Times New Roman"/>
          <w:b w:val="1"/>
          <w:color w:val="000000"/>
          <w:sz w:val="28"/>
          <w:u w:val="none"/>
        </w:rPr>
        <w:t>за исключением федеральных министров, указанных в пункте «д.1» статьи 83 Конституции Российской Федерации). Государственная Дума не позднее недельного срока принимает решение по представленным кандидатурам.</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4. После трехкратного отклонения Государственной Думой представленных в соответствии с частью 2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пункте «д.1» статьи 83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pPr>
        <w:pBdr>
          <w:top w:val="nil" w:sz="0" w:space="0" w:shadow="0" w:frame="0" w:color="auto"/>
          <w:left w:val="nil" w:sz="0" w:space="0" w:shadow="0" w:frame="0" w:color="auto"/>
          <w:bottom w:val="nil" w:sz="0" w:space="0" w:shadow="0" w:frame="0" w:color="auto"/>
          <w:right w:val="nil" w:sz="0" w:space="0" w:shadow="0" w:frame="0" w:color="auto"/>
        </w:pBdr>
        <w:shd w:val="clear" w:fill="FFFFFF"/>
        <w:spacing w:after="0"/>
        <w:ind w:firstLine="709"/>
        <w:rPr>
          <w:rFonts w:ascii="Times New Roman" w:hAnsi="Times New Roman"/>
          <w:b w:val="1"/>
          <w:color w:val="000000"/>
          <w:sz w:val="28"/>
          <w:u w:val="none"/>
        </w:rPr>
      </w:pPr>
      <w:r>
        <w:rPr>
          <w:rFonts w:ascii="Times New Roman" w:hAnsi="Times New Roman"/>
          <w:b w:val="1"/>
          <w:color w:val="000000"/>
          <w:sz w:val="28"/>
          <w:u w:val="none"/>
        </w:rPr>
        <w:t>5. В случае, предусмотренном частью 4 статьи 111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пункте «д1» статьи 83 Конституции Российской Федерации), по представлению Председателя Правительства Российской Федерации.</w:t>
      </w:r>
    </w:p>
    <w:p>
      <w:pPr>
        <w:rPr>
          <w:rFonts w:ascii="Times New Roman" w:hAnsi="Times New Roman"/>
          <w:sz w:val="28"/>
          <w:u w:val="none"/>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